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rPr>
          <w:sz w:val="22"/>
          <w:szCs w:val="22"/>
          <w:rtl w:val="0"/>
        </w:rPr>
        <w:br w:type="textWrapping"/>
        <w:br w:type="textWrapping"/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713738</wp:posOffset>
            </wp:positionH>
            <wp:positionV relativeFrom="page">
              <wp:posOffset>726234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  <w:rtl w:val="0"/>
          <w:lang w:val="en-US"/>
        </w:rPr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</w:t>
      </w:r>
      <w:r>
        <w:rPr>
          <w:rFonts w:ascii="Arial" w:hAnsi="Arial"/>
          <w:sz w:val="44"/>
          <w:szCs w:val="44"/>
          <w:u w:color="bfbfbf"/>
          <w:rtl w:val="0"/>
          <w:lang w:val="en-US"/>
        </w:rPr>
        <w:t>the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Pelvis and SI Joint</w:t>
      </w: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Covering anatomy, fascia &amp; functional movement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348312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